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27 vom 16. Juni 2021</w:t>
      </w:r>
    </w:p>
    <w:p>
      <w:r>
        <w:t>GR Gerichte, 2021-06-16, DE</w:t>
      </w:r>
    </w:p>
    <w:p>
      <w:r>
        <w:rPr>
          <w:b/>
        </w:rPr>
        <w:t xml:space="preserve">Quelle: </w:t>
      </w:r>
      <w:r>
        <w:t>https://mcp.opencaselaw.ch/entscheid/gr_gerichte_KSK 2021 27</w:t>
      </w:r>
    </w:p>
    <w:p>
      <w:r>
        <w:t>FR: GR_GERICHTE KSK 2021 27 du 16 juin 2021</w:t>
      </w:r>
    </w:p>
    <w:p>
      <w:r>
        <w:t>IT: GR_GERICHTE KSK 2021 27 del 16 giugno 2021</w:t>
      </w:r>
    </w:p>
    <w:p>
      <w:pPr>
        <w:pStyle w:val="Heading2"/>
      </w:pPr>
      <w:r>
        <w:t>Regeste</w:t>
      </w:r>
    </w:p>
    <w:p>
      <w:r>
        <w:t>Betreibung | Aufsicht Beschwerde (SchKG 17 Abs. 1)</w:t>
      </w:r>
    </w:p>
    <w:p>
      <w:pPr>
        <w:pStyle w:val="Heading2"/>
      </w:pPr>
      <w:r>
        <w:t>Erwägungen</w:t>
      </w:r>
    </w:p>
    <w:p>
      <w:r>
        <w:rPr>
          <w:b/>
        </w:rPr>
        <w:t>E. 4</w:t>
      </w:r>
    </w:p>
    <w:p>
      <w:r>
        <w:t>/ 10 es, das Betreibungs- und Konkursamt zur Vornahme einer gebotenen Amtshand- lung zu bewegen. 1.3. Die Kantone regeln – unter Beachtung der bundesrechtlichen Minimalvor- schriften (Art. 20a Abs. 2 SchKG) – im Weiteren das Verfahren vor der kantonalen Aufsichtsbehörde (Art. 20a Abs. 3 SchKG). Gemäss Art. 20a Abs. 2 Ziff. 2 SchKG hat die Aufsichtsbehörde den Sachverhalt von Amtes wegen festzustellen (vgl. auch Art. 17 Abs. 2 des Einführungsgesetzes zum Bundesgesetz über Schuldbe- treibung und Konkurs [EGzSchKG; BR 220.000]). 2. Zur Beschwerde nach Art. 17 SchKG ist legitimiert, wer durch die angefoch- tene Verfügung oder durch ein Untätigwerden eines Vollstreckungsorgans in sei- nen rechtlich geschützten oder zumindest tatsächlichen Interessen betroffen und dadurch beschwert ist und deshalb ein schutzwürdiges Interesse an der Aufhe- bung oder Änderung der Verfügung hat (Pra 2019 Nr. 57, E. 3.2; Pra 2019 Nr. 33, E. 4.2.2). Dritte, das heisst am Verfahren nicht als Gläubiger oder Schuldner direkt Beteiligte, sind zur Beschwerde nur berechtigt, wenn die angefochtene Verfügung ihre geschützten Interessen tangiert (Maier/Vagnato, a.a.O., N 6 zu Art. 17 SchKG). 3. Der Beschwerdeführer hat in seiner Eingabe Verfahrensfehler in der Zustel- lung seiner Betreibung gegen seinen ehemaligen Arbeitgeber geltend gemacht. Nach Rückzug der Betreibung Nr. C._____ ist diese Rüge gegenstandslos gewor- den und das Verfahren – soweit es die Betreibung Nr. C._____ zum Gegenstand hat – abzuschreiben.</w:t>
      </w:r>
    </w:p>
    <w:p>
      <w:r>
        <w:rPr>
          <w:b/>
        </w:rPr>
        <w:t>E. 4.1</w:t>
      </w:r>
    </w:p>
    <w:p>
      <w:r>
        <w:t>Im Weiteren beantragt der Beschwerdeführer die Anordnung von Betrei- bungshandlungen gegenüber dem Betreibungsamt Prättigau/Davos, nämlich die Zustellung von Zahlungsbefehlen in den beiden gegen ihn angehobenen Betrei- bungen Nr. E._____ der F._____ und der Betreibung Nr. D._____ von Dr. G._____ an ihn an seinem neuen Wohnort bzw. an seine neue Zustelladresse in I._____. Des Weiteren beantragt er die Löschung der beiden Betreibungen im Be- treibungsregister in Davos und die Nichtbekanntgabe entsprechender Daten ge- genüber Dritten.</w:t>
      </w:r>
    </w:p>
    <w:p>
      <w:r>
        <w:rPr>
          <w:b/>
        </w:rPr>
        <w:t>E. 4.2</w:t>
      </w:r>
    </w:p>
    <w:p>
      <w:r>
        <w:t>Vorab ist festzuhalten, dass der Beschwerdeführer in seinen Eingaben zwar seinen Unmut über das Betreibungsamt Prättigau/Davos kund tut. Seiner Auf- sichtsbeschwerde vom 4. Mai 2021 liegen indessen keine Betreibungshandlungen des Betreibungsamts Prättigau/Davos zugrunde liegen, welche in den letzten 10 Tagen vor Einreichung der Beschwerde vom 4. Mai 2021 ergangen sind. Als An-</w:t>
      </w:r>
    </w:p>
    <w:p>
      <w:r>
        <w:rPr>
          <w:b/>
        </w:rPr>
        <w:t>E. 5</w:t>
      </w:r>
    </w:p>
    <w:p>
      <w:r>
        <w:t>/ 10 fechtungsobjekt kommt lediglich das der Eingabe vom 4. Mai 2021 nicht beigeleg- te und darin auch unerwähnte Schreiben des Betreibungsamtes Prättigau/Davos in Frage, wonach die Bekanntgabe der eingeleiteten Betreibungen an Dritte nach Vorweisen eines entsprechenden Interessennachweises erst nach fünf Jahren erlösche, ausser der Gläubiger habe die Betreibung zurückgezogen oder die Lö- schung erfolge durch eine richterliche Anordnung (act. E.23). Dieses wiederum lag dem Beschwerdeführer bereits am 23. April 2021 vor, so dass eine Anfechtung dagegen – sollte dieses Schreiben überhaupt eine betreibungsrechtliche Handlung darstellen – spätestens am 3. Mai 2021 hätte erfolgen müssen und eine Be- schwerde vom 4. Mai 2021 verspätet wäre. Somit beschränkt sich das vorliegende Verfahren auf die Frage, ob eine Rechtsverweigerung bzw. -verzögerung des Be- treibungsamts Prättigau/Davos vorliegt, weil eine gebotene Amtshandlung unzu- treffenderweise nicht vorgenommen wurde und deren Anordnung durch die Auf- sichtsbehörde notwendig ist.</w:t>
      </w:r>
    </w:p>
    <w:p>
      <w:r>
        <w:rPr>
          <w:b/>
        </w:rPr>
        <w:t>E. 5.1</w:t>
      </w:r>
    </w:p>
    <w:p>
      <w:r>
        <w:t>Auch bei einer Aufsichtsbeschwerde wegen Rechtsverzögerung ist die Be- schwerdelegitimation des Beschwerdeführers zu prüfen. Zur Rechtsverzöge- rungsbeschwerde legitimiert sind die durch eine verweigerte Verfügung der Voll- streckungsbehörde in den ihnen durch das Gesetz garantierten, also rechtlich ge- schützten, oder tatsächlichen Interessen betroffenen Personen (Maier/Vagnato, a.a.O., N 4 zu Art. 17 SchKG). Die Zulässigkeit der Legitimation kann nicht abs- trakt beurteilt werden, sondern ist anhand der konkreten Umstände des Einzelfalls zu entscheiden. Dabei ist der Inhalt des nicht ergangenen Entscheides in Bezug zu den geschützten Interessen des Beschwerdeführers zu setzen. Schutzwürdig ist dessen Interesse, wenn der Ausgang des Beschwerdeverfahrens seine Stel- lung unmittelbar beeinflussen würde.</w:t>
      </w:r>
    </w:p>
    <w:p>
      <w:r>
        <w:rPr>
          <w:b/>
        </w:rPr>
        <w:t>E. 5.2</w:t>
      </w:r>
    </w:p>
    <w:p>
      <w:r>
        <w:t>Soweit der Beschwerdeführer ein Gesuch um Löschung der Betreibungen Nr. D._____ und Nr. E._____ aus dem Betreibungsregister stellt, ist die Legitima- tion grundsätzlich gegeben, da durch die Ablehnung der entsprechenden Begeh- ren in die Interessensphäre des Beschwerdeführers eingegriffen wird.</w:t>
      </w:r>
    </w:p>
    <w:p>
      <w:r>
        <w:rPr>
          <w:b/>
        </w:rPr>
        <w:t>E. 5.3</w:t>
      </w:r>
    </w:p>
    <w:p>
      <w:r>
        <w:t>Die Führung des Betreibungsregisters und das Einsichtsrecht in das Regis- ter sind in Art. 8 f. SchKG geregelt. Gemäss Art. 8 Abs. 1 SchKG führen die Be- treibungs- und Konkursämter über ihre Amtstätigkeiten sowie die bei ihnen einge- henden Begehren und Erklärungen Protokoll; sie führen die Register. Die Regis- terführung der Betreibungsämter ist im Einzelnen in der Verordnung über die im Betreibungs- und Konkursverfahren zu verwendenden Formulare und Register sowie die Rechnungsführung (VFRR; SR 281 31) geregelt. Gemäss Art. 8 Abs. 3</w:t>
      </w:r>
    </w:p>
    <w:p>
      <w:r>
        <w:rPr>
          <w:b/>
        </w:rPr>
        <w:t>E. 5.4</w:t>
      </w:r>
    </w:p>
    <w:p>
      <w:r>
        <w:t>Jede Person, die ein Interesse glaubhaft macht, kann die Protokolle und Register der Betreibungs- und Konkursämter einsehen und sich Auszüge daraus geben lassen (Art. 8a Abs. 1 SchKG). Die Möglichkeit, sich Auszüge aus dem Be- treibungsregister geben zu lassen, liegt im öffentlichen Interesse. Durch die Über- prüfung der Kreditwürdigkeit eines Geschäftspartners anhand des Betreibungsre- gisters werden nicht nur Debitorenverluste, sondern unter Umständen auch weite- re Zwangsvollstreckungsverfahren gegen einen bereits im Betreibungsregister aufgeführten Schuldner vermieden. Der Betreibungsregisterauszug kann deshalb nicht auf hängige Betreibungsverfahren beschränkt werden. Der Persönlichkeits- schutz hat nach dem Gesetzgeber grundsätzlich gegenüber dem öffentlichen In- teresse zurücktreten.</w:t>
      </w:r>
    </w:p>
    <w:p>
      <w:r>
        <w:rPr>
          <w:b/>
        </w:rPr>
        <w:t>E. 5.5</w:t>
      </w:r>
    </w:p>
    <w:p>
      <w:r>
        <w:t>Die Ämter geben Dritten von einer Betreibung keine Kenntnis, wenn die Betreibung nichtig ist oder aufgrund einer Beschwerde oder eines gerichtlichen Entscheids aufgehoben worden ist, der Schuldner mit einer Rückforderungsklage obsiegt hat oder der Gläubiger die Betreibung zurückgezogen hat (Art. 8a Abs. 3 SchKG). Gemäss Art. 8a Abs. 3 lit. d SchKG, welcher per 1. Januar 2019 in Kraft gesetzt wurde, geben Ämter zudem Dritten von einer Betreibung keine Kenntnis, wenn der Schuldner nach Ablauf einer Frist von drei Monaten seit der Zustellung des Zahlungsbefehls ein entsprechendes Gesuch gestellt hat, sofern der Gläubi- ger nach Ablauf einer vom Betreibungsamt angesetzten Frist von 20 Tagen den Nachweis nicht erbringt, dass rechtzeitig ein Verfahren zur Beseitigung des Rechtsvorschlags eingeleitet wurde; wird dieser Nachweis nachträglich erbracht oder wird die Betreibung fortgesetzt, wird sie Dritten wieder zur Kenntnis gebracht. Das Einsichtsrecht Dritter erlischt fünf Jahre nach Abschluss des Verfahrens (Art. 8a Abs. 4 SchKG).</w:t>
      </w:r>
    </w:p>
    <w:p>
      <w:r>
        <w:rPr>
          <w:b/>
        </w:rPr>
        <w:t>E. 5.6</w:t>
      </w:r>
    </w:p>
    <w:p>
      <w:r>
        <w:t>Wird das Nachholen, das Präzisieren, die Berichtigung oder die Löschung eines Eintrages verweigert, steht der dadurch betroffenen Person dagegen die betreibungsrechtliche Beschwerde nach Art. 17 SchKG offen (vgl. Denise Wein- gart, in: Jolanta Kren Kostkiewcz/Dominik Vock [Hrsg.], Kommentar zum Bundes- gesetz über Schuldbetreibung und Konkurs, 4. Auflage, Zürich 2017, N 25 zu Art. 17 SchKG). Die Beschwerde gegen Rechtsverweigerung oder Rechtsverzögerung ist dabei grundsätzlich an keine gesetzliche Beschwerdefrist gebunden.</w:t>
      </w:r>
    </w:p>
    <w:p>
      <w:r>
        <w:rPr>
          <w:b/>
        </w:rPr>
        <w:t>E. 5.7</w:t>
      </w:r>
    </w:p>
    <w:p>
      <w:r>
        <w:t>Der Beschwerdeführer macht sinngemäss geltend, die Voraussetzungen für ein Löschungsgesuch im Sinne von Art. 8a Abs. 3 lit. d SchKG seien erfüllt und</w:t>
      </w:r>
    </w:p>
    <w:p>
      <w:r>
        <w:rPr>
          <w:b/>
        </w:rPr>
        <w:t>E. 5.8</w:t>
      </w:r>
    </w:p>
    <w:p>
      <w:r>
        <w:t>Vielmehr besteht mit der Aufnahme in das Betreibungsregister gleichzeitig das Einsichtsrecht von Dritten nach den Bestimmungen von Art. 8a SchKG. Der Beschwerdeführer hat nicht geltend gemacht, dass die Gläubiger ihre Betrei- bungsbegehren zurückgezogen hätten. Zudem liegt kein gerichtlicher Entscheid im Sinne von Art. 85 ff. SchKG vor, wonach die Betreibungen bei ihrer Einleitung ungerechtfertigt gewesen wären. Nachdem auch die fünfjährige Frist nicht abge- laufen ist, besteht das Einsichtsrecht weiterhin. Ein Wegzug des Schuldners ins Ausland ändert daran nichts. Soweit sich der Beschwerdeführer zudem auf die Frist von Art. 88 SchKG beruft, wonach die Betreibung nach einem Jahr nicht mehr fortgesetzt werden könne, irrt er. Mangels Zustellung des Zahlungsbefehls hat diese Frist noch gar nicht zu laufen begonnen. Damit erweisen sich die Vor- bringen des Beschwerdeführers als offensichtlich unbegründet. Die gegen das Betreibungsamt Prättigau/Davos erhobene Beschwerde ist in diesem Punkt abzu- weisen. 6. Der Beschwerdeführer beantragt des Weiteren die Anweisung an das Be- treibungsamt Prättigau/Davos, wonach die beiden Zahlungsbefehle Nr. H._____ vom 8. April 2020 und Nr. E._____ vom 25. Mai 2020 an seinen Wohnsitz in I._____ zuzustellen seien. Er begründet diese Anträge mit den Gläubigerinteres-</w:t>
      </w:r>
    </w:p>
    <w:p>
      <w:r>
        <w:rPr>
          <w:b/>
        </w:rPr>
        <w:t>E. 6</w:t>
      </w:r>
    </w:p>
    <w:p>
      <w:r>
        <w:t>/ 10 SchKG berichtigt das Betreibungsamt einen fehlerhaften Eintrag von Amtes we- gen oder auf Anordnung einer betroffenen Partei.</w:t>
      </w:r>
    </w:p>
    <w:p>
      <w:r>
        <w:rPr>
          <w:b/>
        </w:rPr>
        <w:t>E. 6.1</w:t>
      </w:r>
    </w:p>
    <w:p>
      <w:r>
        <w:t>Soweit der Beschwerdeführer Gläubigerinteressen ins Feld führt, fehlt es offensichtlich an einem schutzwürdigen Interesse. Gläubigerinteressen – also die dem Beschwerdeführer entgegen gesetzten Interessen der betreibenden Gläubi- ger F._____ und Dr. G._____ – stellen zum Vornherein keine schutzwürdigen In- teressen dar, welche einen Schuldner zur Einreichung einer Aufsichtsbeschwerde und zur Durchsetzung von Amtshandlungen gegen ihn und zu Gunsten der Be- treibenden legitimieren würde. 6.2.1. Zudem besteht offensichtlich kein Anspruch auf Zustellung von Zahlungsbe- fehlen ins Ausland, weshalb es auch diesbezüglich an einem rechtlich geschützten Interesse an der Durchsetzung entsprechender Amtshandlungen fehlt. Ein Schuldner ist gemäss Art. 46 Abs. 1 SchKG an seinem Wohnort zu betreiben. Verändert der Schuldner seinen Wohnsitz, nachdem ihm die Pfändung angekün- digt oder nachdem ihm die Konkursandrohung oder der Zahlungsbefehl zur Wechselbetreibung zugestellt worden ist, wird die Betreibung am bisherigen Wohnort fortgesetzt. Erfolgt der Domizilwechsel vor den obgenannten Zeitpunkten, ist eine Betreibung am neuen Domizil des Schuldners festzusetzen, wobei die Rechtswirksamkeit von am bisherigen Wohnsitz vorgenommenen Betreibungs- handlungen durch einen späteren Wohnsitzwechsel nicht berührt wird (Benno Krüsi, in: Jolanta Kren Kostkiewcz/Dominik Vock [Hrsg.], Kommentar zum Bun- desgesetz über Schuldbetreibung und Konkurs, 4. Auflage, Zürich 2017, N 5 zu Art. 53 SchKG). Liegt das neue Domizil des Schuldners im Ausland, ist eine Fortsetzung der Betreibung in der Schweiz nicht mehr möglich, es sei denn, dass ein besonderer Betreibungsort gemäss Art. 50 bis 52 SchKG für den nämlichen Schuldner in der Schweiz besteht (Krüsi, a.a.O. N 3 zu Art. 53 SchKG). Dies ist Ausfluss des Prinzips der Territorialität, wonach im Zwangsvollstreckungsrecht jeder Staat nur auf seinem eigenen Staatsgebiet Zwangsvollstreckungshandlun- gen ausüben darf. Jede Vereinbarung eines Spezialdomizils ist dabei nichtig (Krü- si, a.a.O., N 9 zu Art. 46 SchKG). 6.2.2. Vorliegend geht aus den Akten hervor, dass der Beschwerdeführer zur Zeit der gegen ihn eingeleiteten beiden Betreibungsverfahren in J._____ Wohnsitz hat- te. Der Beschwerdeführer war zu diesem Zeitpunkt in J._____ angemeldet und verfügte eigenen Angaben zufolge bis 30. November 2020 dort über eine Woh- nung (vgl. E-Mail vom 26. Mai 2020 und Schreiben vom 28. Mai 2020 an das Be- treibungsamt Prättigau/Davos). Aus den Akten ist zudem ersichtlich, dass der Be- schwerdeführer beim Kleinen Landrat der Gemeinde J._____ mit Verfügung vom</w:t>
      </w:r>
    </w:p>
    <w:p>
      <w:r>
        <w:rPr>
          <w:b/>
        </w:rPr>
        <w:t>E. 7</w:t>
      </w:r>
    </w:p>
    <w:p>
      <w:r>
        <w:t>/ 10 das Betreibungsamt weigere sich beharrlich, seine beiden Anträge auf Nichtbe- kanntgabe an Dritte zu bearbeiten. Dies ist unzutreffend. Vorliegend sind die Vor- aussetzungen für eine Nichtauskunft an Dritte nach Art. 8a Abs. 3 lit. d SchKG offensichtlich nicht erfüllt. Die Nichtauskunft an Dritte setzt nebst der Durchführung eines Verfahrens gegenüber dem Gläubiger voraus, dass dem Schuldner über- haupt ein Zahlungsbefehl zugestellt worden ist und er dagegen Rechtsvorschlag erhoben hat. Das Recht auf Nichtauskunft an Dritte besteht dann, wenn der Gläu- biger nach der Erhebung des Rechtsvorschlags keinen Nachweis erbringt, wonach er rechtzeitig ein Verfahren um Beseitigung des Rechtsvorschlags eingeleitet hat, mithin aufgrund des Verhaltens des Gläubigers nach der Erhebung des Rechts- vorschlags Anzeichen bestehen, dass die Betreibung grundlos oder missbräuch- lich erfolgt ist. Dies ist vorliegend jedoch nicht der Fall. Dem Betreibungsamt Prät- tigau/Davos ist es nach Eingang der Betreibungsbegehren der F._____ sowie von Dr. G._____ nicht gelungen, den Zahlungsbefehl dem Beschwerdeführer zuzustel- len. Konnten aber die beiden Zahlungsbefehle Nr. D._____ vom 8. April 2020 und Nr. E._____ vom 25. Mai 2020 nicht zugestellt werden, konnte dagegen auch nicht Rechtsvorschlag erhoben werden. Es war den Gläubigern folglich auch nicht mög- lich, das Betreibungsbegehren fortzusetzen. Somit fehlt es an den Voraussetzun- gen von Art. 8a Abs. 3 lit. d SchKG für eine Nichtauskunft an Dritte.</w:t>
      </w:r>
    </w:p>
    <w:p>
      <w:r>
        <w:rPr>
          <w:b/>
        </w:rPr>
        <w:t>E. 8</w:t>
      </w:r>
    </w:p>
    <w:p>
      <w:r>
        <w:t>/ 10 sen sowie der Beachtung von Art. 46 SchKG. Auf diese Anträge ist mangels recht- lich geschütztem Interesse nicht einzutreten.</w:t>
      </w:r>
    </w:p>
    <w:p>
      <w:r>
        <w:rPr>
          <w:b/>
        </w:rPr>
        <w:t>E. 9</w:t>
      </w:r>
    </w:p>
    <w:p>
      <w:r>
        <w:t>Der vorliegende Entscheid ergeht, da die Beschwerde offensichtlich unbe- gründet ist, in einzelrichterlicher Kompetenz (Art. 18 Abs. 3 GOG).</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